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A23EF" w14:textId="25A82F41" w:rsidR="007F06A1" w:rsidRPr="007F06A1" w:rsidRDefault="007F06A1" w:rsidP="007F06A1">
      <w:pPr>
        <w:outlineLvl w:val="0"/>
        <w:rPr>
          <w:rFonts w:eastAsia="Times New Roman" w:cstheme="minorHAnsi"/>
          <w:b/>
          <w:bCs/>
          <w:color w:val="000000"/>
          <w:kern w:val="36"/>
          <w:sz w:val="28"/>
          <w:szCs w:val="28"/>
          <w:lang w:eastAsia="fr-FR"/>
        </w:rPr>
      </w:pPr>
      <w:r w:rsidRPr="007F06A1">
        <w:rPr>
          <w:rFonts w:eastAsia="Times New Roman" w:cstheme="minorHAnsi"/>
          <w:b/>
          <w:bCs/>
          <w:color w:val="000000"/>
          <w:kern w:val="36"/>
          <w:sz w:val="28"/>
          <w:szCs w:val="28"/>
          <w:lang w:eastAsia="fr-FR"/>
        </w:rPr>
        <w:t>Pourquoi la flambée des cours des matières premières n'est pas due à un super-cycle</w:t>
      </w:r>
    </w:p>
    <w:p w14:paraId="4029A7C1" w14:textId="77777777" w:rsidR="007F06A1" w:rsidRPr="007F06A1" w:rsidRDefault="007F06A1" w:rsidP="007F06A1">
      <w:pPr>
        <w:outlineLvl w:val="0"/>
        <w:rPr>
          <w:rFonts w:eastAsia="Times New Roman" w:cstheme="minorHAnsi"/>
          <w:color w:val="000000"/>
          <w:kern w:val="36"/>
          <w:lang w:eastAsia="fr-FR"/>
        </w:rPr>
      </w:pPr>
    </w:p>
    <w:p w14:paraId="6EC153E0"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 xml:space="preserve">Selon la 35e édition du rapport annuel du </w:t>
      </w:r>
      <w:proofErr w:type="spellStart"/>
      <w:r w:rsidRPr="007F06A1">
        <w:rPr>
          <w:rFonts w:eastAsia="Times New Roman" w:cstheme="minorHAnsi"/>
          <w:color w:val="000000"/>
          <w:lang w:eastAsia="fr-FR"/>
        </w:rPr>
        <w:t>CyclOpe</w:t>
      </w:r>
      <w:proofErr w:type="spellEnd"/>
      <w:r w:rsidRPr="007F06A1">
        <w:rPr>
          <w:rFonts w:eastAsia="Times New Roman" w:cstheme="minorHAnsi"/>
          <w:color w:val="000000"/>
          <w:lang w:eastAsia="fr-FR"/>
        </w:rPr>
        <w:t>, la bible de l’analyse des marchés mondiaux de matières premières, la flambée actuelle des cours tient surtout à un rattrapage, après la crise historique de 2020, qui devrait bientôt s'estomper.</w:t>
      </w:r>
    </w:p>
    <w:p w14:paraId="2B115356" w14:textId="5C323104" w:rsidR="007F06A1" w:rsidRPr="007F06A1" w:rsidRDefault="007F06A1" w:rsidP="007F06A1">
      <w:pPr>
        <w:ind w:right="-45"/>
        <w:rPr>
          <w:rFonts w:eastAsia="Times New Roman" w:cstheme="minorHAnsi"/>
          <w:color w:val="0000FF"/>
          <w:shd w:val="clear" w:color="auto" w:fill="FFFFFF"/>
          <w:lang w:eastAsia="fr-FR"/>
        </w:rPr>
      </w:pPr>
      <w:hyperlink r:id="rId5" w:history="1"/>
    </w:p>
    <w:p w14:paraId="52B6E20F" w14:textId="77777777" w:rsidR="007F06A1" w:rsidRPr="007F06A1" w:rsidRDefault="007F06A1" w:rsidP="007F06A1">
      <w:pPr>
        <w:jc w:val="center"/>
        <w:rPr>
          <w:rFonts w:eastAsia="Times New Roman" w:cstheme="minorHAnsi"/>
          <w:color w:val="000000"/>
          <w:lang w:eastAsia="fr-FR"/>
        </w:rPr>
      </w:pPr>
      <w:r w:rsidRPr="007F06A1">
        <w:rPr>
          <w:rFonts w:eastAsia="Times New Roman" w:cstheme="minorHAnsi"/>
          <w:color w:val="000000"/>
          <w:lang w:eastAsia="fr-FR"/>
        </w:rPr>
        <w:fldChar w:fldCharType="begin"/>
      </w:r>
      <w:r w:rsidRPr="007F06A1">
        <w:rPr>
          <w:rFonts w:eastAsia="Times New Roman" w:cstheme="minorHAnsi"/>
          <w:color w:val="000000"/>
          <w:lang w:eastAsia="fr-FR"/>
        </w:rPr>
        <w:instrText xml:space="preserve"> HYPERLINK "https://www.usinenouvelle.com/article/ico.N1004709" </w:instrText>
      </w:r>
      <w:r w:rsidRPr="007F06A1">
        <w:rPr>
          <w:rFonts w:eastAsia="Times New Roman" w:cstheme="minorHAnsi"/>
          <w:color w:val="000000"/>
          <w:lang w:eastAsia="fr-FR"/>
        </w:rPr>
        <w:fldChar w:fldCharType="separate"/>
      </w:r>
      <w:r w:rsidRPr="007F06A1">
        <w:rPr>
          <w:rFonts w:eastAsia="Times New Roman" w:cstheme="minorHAnsi"/>
          <w:color w:val="FFFFFF"/>
          <w:lang w:eastAsia="fr-FR"/>
        </w:rPr>
        <w:t>Tous les indices </w:t>
      </w:r>
      <w:r w:rsidRPr="007F06A1">
        <w:rPr>
          <w:rFonts w:eastAsia="Times New Roman" w:cstheme="minorHAnsi"/>
          <w:color w:val="000000"/>
          <w:lang w:eastAsia="fr-FR"/>
        </w:rPr>
        <w:fldChar w:fldCharType="end"/>
      </w:r>
    </w:p>
    <w:p w14:paraId="4D0B2ECB"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Derrière le concept de super-cycle se trouve l’idée d’une augmentation durable des prix des matières, pendant plusieurs années voire une décennie, tirée par un boom de la demande. En l’occurrence, celui engendré sur les métaux par la transition énergétique.</w:t>
      </w:r>
    </w:p>
    <w:p w14:paraId="703112B9" w14:textId="77777777" w:rsidR="007F06A1" w:rsidRPr="007F06A1" w:rsidRDefault="007F06A1" w:rsidP="007F06A1">
      <w:pPr>
        <w:rPr>
          <w:rFonts w:eastAsia="Times New Roman" w:cstheme="minorHAnsi"/>
          <w:color w:val="000000"/>
          <w:lang w:eastAsia="fr-FR"/>
        </w:rPr>
      </w:pPr>
    </w:p>
    <w:p w14:paraId="7632A288" w14:textId="5F12D2E2" w:rsidR="007F06A1" w:rsidRPr="007F06A1" w:rsidRDefault="007F06A1" w:rsidP="007F06A1">
      <w:pPr>
        <w:rPr>
          <w:rFonts w:eastAsia="Times New Roman" w:cstheme="minorHAnsi"/>
          <w:color w:val="000000"/>
          <w:lang w:eastAsia="fr-FR"/>
        </w:rPr>
      </w:pPr>
      <w:r w:rsidRPr="007F06A1">
        <w:rPr>
          <w:rFonts w:eastAsia="Times New Roman" w:cstheme="minorHAnsi"/>
          <w:i/>
          <w:iCs/>
          <w:color w:val="000000"/>
          <w:lang w:eastAsia="fr-FR"/>
        </w:rPr>
        <w:t>« Quand on parle de super-cycle, seule la demande compte. Or il y a eu aussi des contraintes sur l’offre de métaux à la production liées aux confinements sanitaires, aux chaines d’approvisionnement et à du sous-investissement après l’effondrement des prix depuis 2014. On ne peut pas expliquer l’évolution des cours uniquement par la demande »</w:t>
      </w:r>
      <w:r w:rsidRPr="007F06A1">
        <w:rPr>
          <w:rFonts w:eastAsia="Times New Roman" w:cstheme="minorHAnsi"/>
          <w:color w:val="000000"/>
          <w:lang w:eastAsia="fr-FR"/>
        </w:rPr>
        <w:t xml:space="preserve">, avance notamment Yves </w:t>
      </w:r>
      <w:proofErr w:type="spellStart"/>
      <w:r w:rsidRPr="007F06A1">
        <w:rPr>
          <w:rFonts w:eastAsia="Times New Roman" w:cstheme="minorHAnsi"/>
          <w:color w:val="000000"/>
          <w:lang w:eastAsia="fr-FR"/>
        </w:rPr>
        <w:t>Jégourel</w:t>
      </w:r>
      <w:proofErr w:type="spellEnd"/>
      <w:r w:rsidRPr="007F06A1">
        <w:rPr>
          <w:rFonts w:eastAsia="Times New Roman" w:cstheme="minorHAnsi"/>
          <w:color w:val="000000"/>
          <w:lang w:eastAsia="fr-FR"/>
        </w:rPr>
        <w:t>, codirecteur du rapport. Par ailleurs, l’augmentation de la demande en métaux dépend fortement des choix technologiques à venir. Une flambée des cours peut encourager les industriels à explorer des </w:t>
      </w:r>
      <w:hyperlink r:id="rId6" w:history="1">
        <w:r w:rsidRPr="007F06A1">
          <w:rPr>
            <w:rFonts w:eastAsia="Times New Roman" w:cstheme="minorHAnsi"/>
            <w:color w:val="000000"/>
            <w:u w:val="single"/>
            <w:lang w:eastAsia="fr-FR"/>
          </w:rPr>
          <w:t>stratégies de substitution, comme pour la teneur en cobalt des batteries lithium-ion</w:t>
        </w:r>
      </w:hyperlink>
      <w:r w:rsidRPr="007F06A1">
        <w:rPr>
          <w:rFonts w:eastAsia="Times New Roman" w:cstheme="minorHAnsi"/>
          <w:color w:val="000000"/>
          <w:lang w:eastAsia="fr-FR"/>
        </w:rPr>
        <w:t>. Les évolutions des cours des matières s’expliquent aussi par une bonne dose de spéculation. </w:t>
      </w:r>
      <w:r w:rsidRPr="007F06A1">
        <w:rPr>
          <w:rFonts w:eastAsia="Times New Roman" w:cstheme="minorHAnsi"/>
          <w:i/>
          <w:iCs/>
          <w:color w:val="000000"/>
          <w:lang w:eastAsia="fr-FR"/>
        </w:rPr>
        <w:t>« Les matières premières sont redevenues une classe d’actifs à la mode </w:t>
      </w:r>
      <w:r w:rsidRPr="007F06A1">
        <w:rPr>
          <w:rFonts w:eastAsia="Times New Roman" w:cstheme="minorHAnsi"/>
          <w:color w:val="000000"/>
          <w:lang w:eastAsia="fr-FR"/>
        </w:rPr>
        <w:t xml:space="preserve">», souligne Yves </w:t>
      </w:r>
      <w:proofErr w:type="spellStart"/>
      <w:r w:rsidRPr="007F06A1">
        <w:rPr>
          <w:rFonts w:eastAsia="Times New Roman" w:cstheme="minorHAnsi"/>
          <w:color w:val="000000"/>
          <w:lang w:eastAsia="fr-FR"/>
        </w:rPr>
        <w:t>Jégourel</w:t>
      </w:r>
      <w:proofErr w:type="spellEnd"/>
      <w:r w:rsidRPr="007F06A1">
        <w:rPr>
          <w:rFonts w:eastAsia="Times New Roman" w:cstheme="minorHAnsi"/>
          <w:color w:val="000000"/>
          <w:lang w:eastAsia="fr-FR"/>
        </w:rPr>
        <w:t>.</w:t>
      </w:r>
    </w:p>
    <w:p w14:paraId="0F923FE2"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Les tensions actuelles sur les marchés des matières tiennent en grande partie au rattrapage économique, après la crise la plus forte depuis la grande dépression des années 1930. </w:t>
      </w:r>
      <w:r w:rsidRPr="007F06A1">
        <w:rPr>
          <w:rFonts w:eastAsia="Times New Roman" w:cstheme="minorHAnsi"/>
          <w:i/>
          <w:iCs/>
          <w:color w:val="000000"/>
          <w:lang w:eastAsia="fr-FR"/>
        </w:rPr>
        <w:t>« Il y a des tensions incontestables. Mais elles correspondent au cycle de l’investissement </w:t>
      </w:r>
      <w:r w:rsidRPr="007F06A1">
        <w:rPr>
          <w:rFonts w:eastAsia="Times New Roman" w:cstheme="minorHAnsi"/>
          <w:color w:val="000000"/>
          <w:lang w:eastAsia="fr-FR"/>
        </w:rPr>
        <w:t xml:space="preserve">», pointe Philippe </w:t>
      </w:r>
      <w:proofErr w:type="spellStart"/>
      <w:r w:rsidRPr="007F06A1">
        <w:rPr>
          <w:rFonts w:eastAsia="Times New Roman" w:cstheme="minorHAnsi"/>
          <w:color w:val="000000"/>
          <w:lang w:eastAsia="fr-FR"/>
        </w:rPr>
        <w:t>Chalmin</w:t>
      </w:r>
      <w:proofErr w:type="spellEnd"/>
      <w:r w:rsidRPr="007F06A1">
        <w:rPr>
          <w:rFonts w:eastAsia="Times New Roman" w:cstheme="minorHAnsi"/>
          <w:color w:val="000000"/>
          <w:lang w:eastAsia="fr-FR"/>
        </w:rPr>
        <w:t>. Au printemps dernier, le prix du pétrole avait dégringolé en dessous de 20 dollars le baril, celui du cuivre approchait 4 000 dollars. Depuis, le rebond des cours a permis au pétrole de revenir à son niveau d’avant crise. Le redémarrage de la consommation aux </w:t>
      </w:r>
      <w:proofErr w:type="spellStart"/>
      <w:r w:rsidRPr="007F06A1">
        <w:rPr>
          <w:rFonts w:eastAsia="Times New Roman" w:cstheme="minorHAnsi"/>
          <w:color w:val="000000"/>
          <w:lang w:eastAsia="fr-FR"/>
        </w:rPr>
        <w:fldChar w:fldCharType="begin"/>
      </w:r>
      <w:r w:rsidRPr="007F06A1">
        <w:rPr>
          <w:rFonts w:eastAsia="Times New Roman" w:cstheme="minorHAnsi"/>
          <w:color w:val="000000"/>
          <w:lang w:eastAsia="fr-FR"/>
        </w:rPr>
        <w:instrText xml:space="preserve"> HYPERLINK "https://www.usinenouvelle.com/etats-unis/" \o "Toute l'information économique et industrielle aux Etats-Unis" \t "" </w:instrText>
      </w:r>
      <w:r w:rsidRPr="007F06A1">
        <w:rPr>
          <w:rFonts w:eastAsia="Times New Roman" w:cstheme="minorHAnsi"/>
          <w:color w:val="000000"/>
          <w:lang w:eastAsia="fr-FR"/>
        </w:rPr>
        <w:fldChar w:fldCharType="separate"/>
      </w:r>
      <w:r w:rsidRPr="007F06A1">
        <w:rPr>
          <w:rFonts w:eastAsia="Times New Roman" w:cstheme="minorHAnsi"/>
          <w:color w:val="000000"/>
          <w:u w:val="single"/>
          <w:lang w:eastAsia="fr-FR"/>
        </w:rPr>
        <w:t>Etats-Unis</w:t>
      </w:r>
      <w:proofErr w:type="spellEnd"/>
      <w:r w:rsidRPr="007F06A1">
        <w:rPr>
          <w:rFonts w:eastAsia="Times New Roman" w:cstheme="minorHAnsi"/>
          <w:color w:val="000000"/>
          <w:lang w:eastAsia="fr-FR"/>
        </w:rPr>
        <w:fldChar w:fldCharType="end"/>
      </w:r>
      <w:r w:rsidRPr="007F06A1">
        <w:rPr>
          <w:rFonts w:eastAsia="Times New Roman" w:cstheme="minorHAnsi"/>
          <w:color w:val="000000"/>
          <w:lang w:eastAsia="fr-FR"/>
        </w:rPr>
        <w:t> a fait flamber le bois d’œuvre, alors que 80 % des maisons américaines sont en bois, sans que la production locale puisse suivre après des années de désinvestissement. De quoi inciter les forestiers à se tourner vers l’Europe et y faire aussi flamber les prix.</w:t>
      </w:r>
    </w:p>
    <w:p w14:paraId="78A979F8"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Le pic de la flambée des cours déjà passé</w:t>
      </w:r>
    </w:p>
    <w:p w14:paraId="18B91A21"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L’envolée des cours tient en grande partie au redémarrage rapide de la </w:t>
      </w:r>
      <w:hyperlink r:id="rId7" w:tooltip="Info et actu économique et industrielle en Chine" w:history="1">
        <w:r w:rsidRPr="007F06A1">
          <w:rPr>
            <w:rFonts w:eastAsia="Times New Roman" w:cstheme="minorHAnsi"/>
            <w:color w:val="000000"/>
            <w:u w:val="single"/>
            <w:lang w:eastAsia="fr-FR"/>
          </w:rPr>
          <w:t>Chine</w:t>
        </w:r>
      </w:hyperlink>
      <w:r w:rsidRPr="007F06A1">
        <w:rPr>
          <w:rFonts w:eastAsia="Times New Roman" w:cstheme="minorHAnsi"/>
          <w:color w:val="000000"/>
          <w:lang w:eastAsia="fr-FR"/>
        </w:rPr>
        <w:t> dont le rôle devient de plus en plus central sur les marchés des matières premières, pas seulement pour le cuivre et le minerai de fer</w:t>
      </w:r>
      <w:r w:rsidRPr="007F06A1">
        <w:rPr>
          <w:rFonts w:eastAsia="Times New Roman" w:cstheme="minorHAnsi"/>
          <w:i/>
          <w:iCs/>
          <w:color w:val="000000"/>
          <w:lang w:eastAsia="fr-FR"/>
        </w:rPr>
        <w:t xml:space="preserve">. « Il y a une asymétrie dans la sortie de crise. La Chine a dépassé le col, les </w:t>
      </w:r>
      <w:proofErr w:type="spellStart"/>
      <w:r w:rsidRPr="007F06A1">
        <w:rPr>
          <w:rFonts w:eastAsia="Times New Roman" w:cstheme="minorHAnsi"/>
          <w:i/>
          <w:iCs/>
          <w:color w:val="000000"/>
          <w:lang w:eastAsia="fr-FR"/>
        </w:rPr>
        <w:t>Etats-Unis</w:t>
      </w:r>
      <w:proofErr w:type="spellEnd"/>
      <w:r w:rsidRPr="007F06A1">
        <w:rPr>
          <w:rFonts w:eastAsia="Times New Roman" w:cstheme="minorHAnsi"/>
          <w:i/>
          <w:iCs/>
          <w:color w:val="000000"/>
          <w:lang w:eastAsia="fr-FR"/>
        </w:rPr>
        <w:t xml:space="preserve"> ne sont pas loin derrière, mais beaucoup de pays regardent encore le sommet de loin »</w:t>
      </w:r>
      <w:r w:rsidRPr="007F06A1">
        <w:rPr>
          <w:rFonts w:eastAsia="Times New Roman" w:cstheme="minorHAnsi"/>
          <w:color w:val="000000"/>
          <w:lang w:eastAsia="fr-FR"/>
        </w:rPr>
        <w:t xml:space="preserve">, résume Philippe </w:t>
      </w:r>
      <w:proofErr w:type="spellStart"/>
      <w:r w:rsidRPr="007F06A1">
        <w:rPr>
          <w:rFonts w:eastAsia="Times New Roman" w:cstheme="minorHAnsi"/>
          <w:color w:val="000000"/>
          <w:lang w:eastAsia="fr-FR"/>
        </w:rPr>
        <w:t>Chalmin</w:t>
      </w:r>
      <w:proofErr w:type="spellEnd"/>
      <w:r w:rsidRPr="007F06A1">
        <w:rPr>
          <w:rFonts w:eastAsia="Times New Roman" w:cstheme="minorHAnsi"/>
          <w:color w:val="000000"/>
          <w:lang w:eastAsia="fr-FR"/>
        </w:rPr>
        <w:t>. Sur les marchés agricoles, la Chine est devenue en 2020 le premier importateur mondial de céréales. Alors que son cheptel a été décimé par la peste porcine, elle a capté un tiers des flux commerciaux mondiaux de viande, toutes espèces confondues.</w:t>
      </w:r>
    </w:p>
    <w:p w14:paraId="102C215C"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Le mouvement de rattrapage est probablement en partie achevé. </w:t>
      </w:r>
      <w:r w:rsidRPr="007F06A1">
        <w:rPr>
          <w:rFonts w:eastAsia="Times New Roman" w:cstheme="minorHAnsi"/>
          <w:i/>
          <w:iCs/>
          <w:color w:val="000000"/>
          <w:lang w:eastAsia="fr-FR"/>
        </w:rPr>
        <w:t xml:space="preserve">« Il semble que l’effet </w:t>
      </w:r>
      <w:proofErr w:type="spellStart"/>
      <w:r w:rsidRPr="007F06A1">
        <w:rPr>
          <w:rFonts w:eastAsia="Times New Roman" w:cstheme="minorHAnsi"/>
          <w:i/>
          <w:iCs/>
          <w:color w:val="000000"/>
          <w:lang w:eastAsia="fr-FR"/>
        </w:rPr>
        <w:t>Covid</w:t>
      </w:r>
      <w:proofErr w:type="spellEnd"/>
      <w:r w:rsidRPr="007F06A1">
        <w:rPr>
          <w:rFonts w:eastAsia="Times New Roman" w:cstheme="minorHAnsi"/>
          <w:i/>
          <w:iCs/>
          <w:color w:val="000000"/>
          <w:lang w:eastAsia="fr-FR"/>
        </w:rPr>
        <w:t xml:space="preserve"> soit passé. Un certain nombre de marchés ont atteint des niveaux tels qu’on assiste à des prises de bénéfices par les investisseurs »</w:t>
      </w:r>
      <w:r w:rsidRPr="007F06A1">
        <w:rPr>
          <w:rFonts w:eastAsia="Times New Roman" w:cstheme="minorHAnsi"/>
          <w:color w:val="000000"/>
          <w:lang w:eastAsia="fr-FR"/>
        </w:rPr>
        <w:t>, souligne </w:t>
      </w:r>
      <w:proofErr w:type="spellStart"/>
      <w:r w:rsidRPr="007F06A1">
        <w:rPr>
          <w:rFonts w:eastAsia="Times New Roman" w:cstheme="minorHAnsi"/>
          <w:color w:val="000000"/>
          <w:lang w:eastAsia="fr-FR"/>
        </w:rPr>
        <w:t>Phillipe</w:t>
      </w:r>
      <w:proofErr w:type="spellEnd"/>
      <w:r w:rsidRPr="007F06A1">
        <w:rPr>
          <w:rFonts w:eastAsia="Times New Roman" w:cstheme="minorHAnsi"/>
          <w:color w:val="000000"/>
          <w:lang w:eastAsia="fr-FR"/>
        </w:rPr>
        <w:t xml:space="preserve"> </w:t>
      </w:r>
      <w:proofErr w:type="spellStart"/>
      <w:r w:rsidRPr="007F06A1">
        <w:rPr>
          <w:rFonts w:eastAsia="Times New Roman" w:cstheme="minorHAnsi"/>
          <w:color w:val="000000"/>
          <w:lang w:eastAsia="fr-FR"/>
        </w:rPr>
        <w:t>Chalmin</w:t>
      </w:r>
      <w:proofErr w:type="spellEnd"/>
      <w:r w:rsidRPr="007F06A1">
        <w:rPr>
          <w:rFonts w:eastAsia="Times New Roman" w:cstheme="minorHAnsi"/>
          <w:color w:val="000000"/>
          <w:lang w:eastAsia="fr-FR"/>
        </w:rPr>
        <w:t>. Ces derniers jours, les bonnes nouvelles sur les prochaines récoltes ont fait retomber les cours du blé et du colza, notamment. </w:t>
      </w:r>
      <w:r w:rsidRPr="007F06A1">
        <w:rPr>
          <w:rFonts w:eastAsia="Times New Roman" w:cstheme="minorHAnsi"/>
          <w:i/>
          <w:iCs/>
          <w:color w:val="000000"/>
          <w:lang w:eastAsia="fr-FR"/>
        </w:rPr>
        <w:t>« L’heure est plus à l’atterrissage des cours »</w:t>
      </w:r>
      <w:r w:rsidRPr="007F06A1">
        <w:rPr>
          <w:rFonts w:eastAsia="Times New Roman" w:cstheme="minorHAnsi"/>
          <w:color w:val="000000"/>
          <w:lang w:eastAsia="fr-FR"/>
        </w:rPr>
        <w:t xml:space="preserve">, poursuit encore le codirecteur de </w:t>
      </w:r>
      <w:proofErr w:type="spellStart"/>
      <w:r w:rsidRPr="007F06A1">
        <w:rPr>
          <w:rFonts w:eastAsia="Times New Roman" w:cstheme="minorHAnsi"/>
          <w:color w:val="000000"/>
          <w:lang w:eastAsia="fr-FR"/>
        </w:rPr>
        <w:t>CyclOpe</w:t>
      </w:r>
      <w:proofErr w:type="spellEnd"/>
      <w:r w:rsidRPr="007F06A1">
        <w:rPr>
          <w:rFonts w:eastAsia="Times New Roman" w:cstheme="minorHAnsi"/>
          <w:color w:val="000000"/>
          <w:lang w:eastAsia="fr-FR"/>
        </w:rPr>
        <w:t>, même si l’importance de la liquidité mise sur les marchés par les banques centrales et la baisse du dollar peuvent venir soutenir les cours.</w:t>
      </w:r>
    </w:p>
    <w:p w14:paraId="080870D6"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lastRenderedPageBreak/>
        <w:t>Le risque géopolitique</w:t>
      </w:r>
    </w:p>
    <w:p w14:paraId="46DD6DE0" w14:textId="77777777" w:rsidR="007F06A1" w:rsidRPr="007F06A1" w:rsidRDefault="007F06A1" w:rsidP="007F06A1">
      <w:pPr>
        <w:rPr>
          <w:rFonts w:eastAsia="Times New Roman" w:cstheme="minorHAnsi"/>
          <w:color w:val="000000"/>
          <w:lang w:eastAsia="fr-FR"/>
        </w:rPr>
      </w:pPr>
      <w:r w:rsidRPr="007F06A1">
        <w:rPr>
          <w:rFonts w:eastAsia="Times New Roman" w:cstheme="minorHAnsi"/>
          <w:color w:val="000000"/>
          <w:lang w:eastAsia="fr-FR"/>
        </w:rPr>
        <w:t xml:space="preserve">Sauf bien sûr un accident climatique ou géopolitique toujours possible. Alors que les conséquences de la pandémie se résorbent, les tensions géopolitiques devraient à nouveau redevenir la variable la plus surveillée pour comprendre les fluctuations de marchés. Elles n’ont jamais vraiment disparu, comme le rappelle le conflit commercial entre l’Australie et la Chine, qui a pesé sur le marché du coton, des concentrés de cuivre, du vin et de la laine, mais pas du minerai de fer, alors que la Chine dépend pour moitié de son approvisionnement de </w:t>
      </w:r>
      <w:proofErr w:type="spellStart"/>
      <w:r w:rsidRPr="007F06A1">
        <w:rPr>
          <w:rFonts w:eastAsia="Times New Roman" w:cstheme="minorHAnsi"/>
          <w:color w:val="000000"/>
          <w:lang w:eastAsia="fr-FR"/>
        </w:rPr>
        <w:t>Camberra</w:t>
      </w:r>
      <w:proofErr w:type="spellEnd"/>
      <w:r w:rsidRPr="007F06A1">
        <w:rPr>
          <w:rFonts w:eastAsia="Times New Roman" w:cstheme="minorHAnsi"/>
          <w:color w:val="000000"/>
          <w:lang w:eastAsia="fr-FR"/>
        </w:rPr>
        <w:t xml:space="preserve">. Malgré le changement d’administration américaine, les tensions entre la Chine et les </w:t>
      </w:r>
      <w:proofErr w:type="spellStart"/>
      <w:r w:rsidRPr="007F06A1">
        <w:rPr>
          <w:rFonts w:eastAsia="Times New Roman" w:cstheme="minorHAnsi"/>
          <w:color w:val="000000"/>
          <w:lang w:eastAsia="fr-FR"/>
        </w:rPr>
        <w:t>Etats-Unis</w:t>
      </w:r>
      <w:proofErr w:type="spellEnd"/>
      <w:r w:rsidRPr="007F06A1">
        <w:rPr>
          <w:rFonts w:eastAsia="Times New Roman" w:cstheme="minorHAnsi"/>
          <w:color w:val="000000"/>
          <w:lang w:eastAsia="fr-FR"/>
        </w:rPr>
        <w:t xml:space="preserve">, qui sont tous deux gros producteurs et consommateurs de matières premières, devraient rester vives dans les prochaines années. En début d'année, Pékin avait menacé d'arrêter ses exportations de terres rares vers les </w:t>
      </w:r>
      <w:proofErr w:type="spellStart"/>
      <w:r w:rsidRPr="007F06A1">
        <w:rPr>
          <w:rFonts w:eastAsia="Times New Roman" w:cstheme="minorHAnsi"/>
          <w:color w:val="000000"/>
          <w:lang w:eastAsia="fr-FR"/>
        </w:rPr>
        <w:t>Etats-Unis</w:t>
      </w:r>
      <w:proofErr w:type="spellEnd"/>
      <w:r w:rsidRPr="007F06A1">
        <w:rPr>
          <w:rFonts w:eastAsia="Times New Roman" w:cstheme="minorHAnsi"/>
          <w:color w:val="000000"/>
          <w:lang w:eastAsia="fr-FR"/>
        </w:rPr>
        <w:t xml:space="preserve">. Et les discussions en cours à Vienne avec les </w:t>
      </w:r>
      <w:proofErr w:type="spellStart"/>
      <w:r w:rsidRPr="007F06A1">
        <w:rPr>
          <w:rFonts w:eastAsia="Times New Roman" w:cstheme="minorHAnsi"/>
          <w:color w:val="000000"/>
          <w:lang w:eastAsia="fr-FR"/>
        </w:rPr>
        <w:t>Etats-Unis</w:t>
      </w:r>
      <w:proofErr w:type="spellEnd"/>
      <w:r w:rsidRPr="007F06A1">
        <w:rPr>
          <w:rFonts w:eastAsia="Times New Roman" w:cstheme="minorHAnsi"/>
          <w:color w:val="000000"/>
          <w:lang w:eastAsia="fr-FR"/>
        </w:rPr>
        <w:t xml:space="preserve"> autour de l’accord nucléaire iranien seront aussi déterminantes pour le marché du pétrole dans les prochains mois.</w:t>
      </w:r>
    </w:p>
    <w:p w14:paraId="0C720C4B" w14:textId="77777777" w:rsidR="00BC4CE6" w:rsidRPr="007F06A1" w:rsidRDefault="00BC4CE6">
      <w:pPr>
        <w:rPr>
          <w:rFonts w:cstheme="minorHAnsi"/>
        </w:rPr>
      </w:pPr>
    </w:p>
    <w:sectPr w:rsidR="00BC4CE6" w:rsidRPr="007F06A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061B0"/>
    <w:multiLevelType w:val="multilevel"/>
    <w:tmpl w:val="E62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A1"/>
    <w:rsid w:val="000F156F"/>
    <w:rsid w:val="007F06A1"/>
    <w:rsid w:val="00BC4C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C5B0CF4"/>
  <w15:chartTrackingRefBased/>
  <w15:docId w15:val="{56CA6CC6-8A7F-2945-AC7F-9BFA6694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F06A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F06A1"/>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06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F06A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F06A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F06A1"/>
    <w:rPr>
      <w:color w:val="0000FF"/>
      <w:u w:val="single"/>
    </w:rPr>
  </w:style>
  <w:style w:type="paragraph" w:customStyle="1" w:styleId="epmetadatacontentinfos--default">
    <w:name w:val="epmetadata__content__infos--default"/>
    <w:basedOn w:val="Normal"/>
    <w:rsid w:val="007F06A1"/>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7F06A1"/>
  </w:style>
  <w:style w:type="paragraph" w:customStyle="1" w:styleId="mt-3">
    <w:name w:val="mt-3"/>
    <w:basedOn w:val="Normal"/>
    <w:rsid w:val="007F06A1"/>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7F06A1"/>
  </w:style>
  <w:style w:type="character" w:customStyle="1" w:styleId="epantislashcaractere">
    <w:name w:val="epantislash__caractere"/>
    <w:basedOn w:val="Policepardfaut"/>
    <w:rsid w:val="007F06A1"/>
  </w:style>
  <w:style w:type="paragraph" w:customStyle="1" w:styleId="epsocialbarlistitem">
    <w:name w:val="epsocialbar__list__item"/>
    <w:basedOn w:val="Normal"/>
    <w:rsid w:val="007F06A1"/>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F06A1"/>
    <w:rPr>
      <w:i/>
      <w:iCs/>
    </w:rPr>
  </w:style>
  <w:style w:type="character" w:customStyle="1" w:styleId="epsectiontitletitlelabel">
    <w:name w:val="epsectiontitle__title__label"/>
    <w:basedOn w:val="Policepardfaut"/>
    <w:rsid w:val="007F06A1"/>
  </w:style>
  <w:style w:type="paragraph" w:customStyle="1" w:styleId="epatcindicetitle-source-label">
    <w:name w:val="epatcindice__title-source-label"/>
    <w:basedOn w:val="Normal"/>
    <w:rsid w:val="007F06A1"/>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7F06A1"/>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7F06A1"/>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7F06A1"/>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7F06A1"/>
    <w:pPr>
      <w:spacing w:before="100" w:beforeAutospacing="1" w:after="100" w:afterAutospacing="1"/>
    </w:pPr>
    <w:rPr>
      <w:rFonts w:ascii="Times New Roman" w:eastAsia="Times New Roman" w:hAnsi="Times New Roman" w:cs="Times New Roman"/>
      <w:lang w:eastAsia="fr-FR"/>
    </w:rPr>
  </w:style>
  <w:style w:type="character" w:customStyle="1" w:styleId="editolinktype3text">
    <w:name w:val="editolinktype3__text"/>
    <w:basedOn w:val="Policepardfaut"/>
    <w:rsid w:val="007F06A1"/>
  </w:style>
  <w:style w:type="character" w:customStyle="1" w:styleId="intertitre">
    <w:name w:val="intertitre"/>
    <w:basedOn w:val="Policepardfaut"/>
    <w:rsid w:val="007F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02203">
      <w:bodyDiv w:val="1"/>
      <w:marLeft w:val="0"/>
      <w:marRight w:val="0"/>
      <w:marTop w:val="0"/>
      <w:marBottom w:val="0"/>
      <w:divBdr>
        <w:top w:val="none" w:sz="0" w:space="0" w:color="auto"/>
        <w:left w:val="none" w:sz="0" w:space="0" w:color="auto"/>
        <w:bottom w:val="none" w:sz="0" w:space="0" w:color="auto"/>
        <w:right w:val="none" w:sz="0" w:space="0" w:color="auto"/>
      </w:divBdr>
      <w:divsChild>
        <w:div w:id="1408923190">
          <w:marLeft w:val="0"/>
          <w:marRight w:val="0"/>
          <w:marTop w:val="0"/>
          <w:marBottom w:val="0"/>
          <w:divBdr>
            <w:top w:val="none" w:sz="0" w:space="0" w:color="auto"/>
            <w:left w:val="none" w:sz="0" w:space="0" w:color="auto"/>
            <w:bottom w:val="none" w:sz="0" w:space="0" w:color="auto"/>
            <w:right w:val="none" w:sz="0" w:space="0" w:color="auto"/>
          </w:divBdr>
        </w:div>
        <w:div w:id="1635254676">
          <w:marLeft w:val="0"/>
          <w:marRight w:val="0"/>
          <w:marTop w:val="0"/>
          <w:marBottom w:val="0"/>
          <w:divBdr>
            <w:top w:val="none" w:sz="0" w:space="0" w:color="auto"/>
            <w:left w:val="none" w:sz="0" w:space="0" w:color="auto"/>
            <w:bottom w:val="none" w:sz="0" w:space="0" w:color="auto"/>
            <w:right w:val="none" w:sz="0" w:space="0" w:color="auto"/>
          </w:divBdr>
          <w:divsChild>
            <w:div w:id="474030446">
              <w:marLeft w:val="0"/>
              <w:marRight w:val="0"/>
              <w:marTop w:val="0"/>
              <w:marBottom w:val="0"/>
              <w:divBdr>
                <w:top w:val="none" w:sz="0" w:space="0" w:color="auto"/>
                <w:left w:val="none" w:sz="0" w:space="0" w:color="auto"/>
                <w:bottom w:val="none" w:sz="0" w:space="0" w:color="auto"/>
                <w:right w:val="none" w:sz="0" w:space="0" w:color="auto"/>
              </w:divBdr>
              <w:divsChild>
                <w:div w:id="1027875331">
                  <w:marLeft w:val="0"/>
                  <w:marRight w:val="0"/>
                  <w:marTop w:val="0"/>
                  <w:marBottom w:val="0"/>
                  <w:divBdr>
                    <w:top w:val="none" w:sz="0" w:space="0" w:color="auto"/>
                    <w:left w:val="none" w:sz="0" w:space="0" w:color="auto"/>
                    <w:bottom w:val="none" w:sz="0" w:space="0" w:color="auto"/>
                    <w:right w:val="none" w:sz="0" w:space="0" w:color="auto"/>
                  </w:divBdr>
                  <w:divsChild>
                    <w:div w:id="800348368">
                      <w:marLeft w:val="0"/>
                      <w:marRight w:val="0"/>
                      <w:marTop w:val="0"/>
                      <w:marBottom w:val="0"/>
                      <w:divBdr>
                        <w:top w:val="none" w:sz="0" w:space="0" w:color="auto"/>
                        <w:left w:val="none" w:sz="0" w:space="0" w:color="auto"/>
                        <w:bottom w:val="none" w:sz="0" w:space="0" w:color="auto"/>
                        <w:right w:val="none" w:sz="0" w:space="0" w:color="auto"/>
                      </w:divBdr>
                    </w:div>
                    <w:div w:id="2115129965">
                      <w:marLeft w:val="0"/>
                      <w:marRight w:val="0"/>
                      <w:marTop w:val="0"/>
                      <w:marBottom w:val="0"/>
                      <w:divBdr>
                        <w:top w:val="none" w:sz="0" w:space="0" w:color="auto"/>
                        <w:left w:val="none" w:sz="0" w:space="0" w:color="auto"/>
                        <w:bottom w:val="none" w:sz="0" w:space="0" w:color="auto"/>
                        <w:right w:val="none" w:sz="0" w:space="0" w:color="auto"/>
                      </w:divBdr>
                      <w:divsChild>
                        <w:div w:id="1462841253">
                          <w:marLeft w:val="0"/>
                          <w:marRight w:val="0"/>
                          <w:marTop w:val="0"/>
                          <w:marBottom w:val="0"/>
                          <w:divBdr>
                            <w:top w:val="none" w:sz="0" w:space="0" w:color="auto"/>
                            <w:left w:val="none" w:sz="0" w:space="0" w:color="auto"/>
                            <w:bottom w:val="none" w:sz="0" w:space="0" w:color="auto"/>
                            <w:right w:val="none" w:sz="0" w:space="0" w:color="auto"/>
                          </w:divBdr>
                        </w:div>
                        <w:div w:id="15572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0451">
                  <w:marLeft w:val="-975"/>
                  <w:marRight w:val="0"/>
                  <w:marTop w:val="0"/>
                  <w:marBottom w:val="0"/>
                  <w:divBdr>
                    <w:top w:val="none" w:sz="0" w:space="0" w:color="auto"/>
                    <w:left w:val="none" w:sz="0" w:space="0" w:color="auto"/>
                    <w:bottom w:val="none" w:sz="0" w:space="0" w:color="auto"/>
                    <w:right w:val="none" w:sz="0" w:space="0" w:color="auto"/>
                  </w:divBdr>
                </w:div>
              </w:divsChild>
            </w:div>
            <w:div w:id="1987586030">
              <w:marLeft w:val="0"/>
              <w:marRight w:val="0"/>
              <w:marTop w:val="0"/>
              <w:marBottom w:val="0"/>
              <w:divBdr>
                <w:top w:val="none" w:sz="0" w:space="0" w:color="auto"/>
                <w:left w:val="none" w:sz="0" w:space="0" w:color="auto"/>
                <w:bottom w:val="none" w:sz="0" w:space="0" w:color="auto"/>
                <w:right w:val="none" w:sz="0" w:space="0" w:color="auto"/>
              </w:divBdr>
              <w:divsChild>
                <w:div w:id="1638297844">
                  <w:marLeft w:val="0"/>
                  <w:marRight w:val="0"/>
                  <w:marTop w:val="0"/>
                  <w:marBottom w:val="0"/>
                  <w:divBdr>
                    <w:top w:val="none" w:sz="0" w:space="0" w:color="auto"/>
                    <w:left w:val="none" w:sz="0" w:space="0" w:color="auto"/>
                    <w:bottom w:val="none" w:sz="0" w:space="0" w:color="auto"/>
                    <w:right w:val="none" w:sz="0" w:space="0" w:color="auto"/>
                  </w:divBdr>
                  <w:divsChild>
                    <w:div w:id="1610578307">
                      <w:marLeft w:val="0"/>
                      <w:marRight w:val="0"/>
                      <w:marTop w:val="0"/>
                      <w:marBottom w:val="0"/>
                      <w:divBdr>
                        <w:top w:val="none" w:sz="0" w:space="0" w:color="auto"/>
                        <w:left w:val="none" w:sz="0" w:space="0" w:color="auto"/>
                        <w:bottom w:val="none" w:sz="0" w:space="0" w:color="auto"/>
                        <w:right w:val="none" w:sz="0" w:space="0" w:color="auto"/>
                      </w:divBdr>
                      <w:divsChild>
                        <w:div w:id="1507094431">
                          <w:marLeft w:val="0"/>
                          <w:marRight w:val="0"/>
                          <w:marTop w:val="0"/>
                          <w:marBottom w:val="0"/>
                          <w:divBdr>
                            <w:top w:val="none" w:sz="0" w:space="0" w:color="auto"/>
                            <w:left w:val="none" w:sz="0" w:space="0" w:color="auto"/>
                            <w:bottom w:val="none" w:sz="0" w:space="0" w:color="auto"/>
                            <w:right w:val="none" w:sz="0" w:space="0" w:color="auto"/>
                          </w:divBdr>
                          <w:divsChild>
                            <w:div w:id="1787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063">
                      <w:marLeft w:val="-4575"/>
                      <w:marRight w:val="0"/>
                      <w:marTop w:val="0"/>
                      <w:marBottom w:val="0"/>
                      <w:divBdr>
                        <w:top w:val="none" w:sz="0" w:space="0" w:color="auto"/>
                        <w:left w:val="none" w:sz="0" w:space="0" w:color="auto"/>
                        <w:bottom w:val="none" w:sz="0" w:space="0" w:color="auto"/>
                        <w:right w:val="none" w:sz="0" w:space="0" w:color="auto"/>
                      </w:divBdr>
                      <w:divsChild>
                        <w:div w:id="1142113546">
                          <w:marLeft w:val="0"/>
                          <w:marRight w:val="0"/>
                          <w:marTop w:val="0"/>
                          <w:marBottom w:val="0"/>
                          <w:divBdr>
                            <w:top w:val="none" w:sz="0" w:space="0" w:color="auto"/>
                            <w:left w:val="none" w:sz="0" w:space="0" w:color="auto"/>
                            <w:bottom w:val="none" w:sz="0" w:space="0" w:color="auto"/>
                            <w:right w:val="none" w:sz="0" w:space="0" w:color="auto"/>
                          </w:divBdr>
                          <w:divsChild>
                            <w:div w:id="12771806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55811677">
                      <w:marLeft w:val="0"/>
                      <w:marRight w:val="0"/>
                      <w:marTop w:val="0"/>
                      <w:marBottom w:val="0"/>
                      <w:divBdr>
                        <w:top w:val="none" w:sz="0" w:space="0" w:color="auto"/>
                        <w:left w:val="none" w:sz="0" w:space="0" w:color="auto"/>
                        <w:bottom w:val="none" w:sz="0" w:space="0" w:color="auto"/>
                        <w:right w:val="none" w:sz="0" w:space="0" w:color="auto"/>
                      </w:divBdr>
                    </w:div>
                    <w:div w:id="19938212">
                      <w:marLeft w:val="0"/>
                      <w:marRight w:val="0"/>
                      <w:marTop w:val="0"/>
                      <w:marBottom w:val="0"/>
                      <w:divBdr>
                        <w:top w:val="none" w:sz="0" w:space="0" w:color="auto"/>
                        <w:left w:val="none" w:sz="0" w:space="0" w:color="auto"/>
                        <w:bottom w:val="none" w:sz="0" w:space="0" w:color="auto"/>
                        <w:right w:val="none" w:sz="0" w:space="0" w:color="auto"/>
                      </w:divBdr>
                      <w:divsChild>
                        <w:div w:id="2030908356">
                          <w:marLeft w:val="0"/>
                          <w:marRight w:val="0"/>
                          <w:marTop w:val="0"/>
                          <w:marBottom w:val="0"/>
                          <w:divBdr>
                            <w:top w:val="none" w:sz="0" w:space="0" w:color="auto"/>
                            <w:left w:val="none" w:sz="0" w:space="0" w:color="auto"/>
                            <w:bottom w:val="none" w:sz="0" w:space="0" w:color="auto"/>
                            <w:right w:val="none" w:sz="0" w:space="0" w:color="auto"/>
                          </w:divBdr>
                        </w:div>
                        <w:div w:id="269095323">
                          <w:marLeft w:val="0"/>
                          <w:marRight w:val="0"/>
                          <w:marTop w:val="0"/>
                          <w:marBottom w:val="0"/>
                          <w:divBdr>
                            <w:top w:val="none" w:sz="0" w:space="0" w:color="auto"/>
                            <w:left w:val="none" w:sz="0" w:space="0" w:color="auto"/>
                            <w:bottom w:val="none" w:sz="0" w:space="0" w:color="auto"/>
                            <w:right w:val="none" w:sz="0" w:space="0" w:color="auto"/>
                          </w:divBdr>
                        </w:div>
                      </w:divsChild>
                    </w:div>
                    <w:div w:id="1329021712">
                      <w:marLeft w:val="0"/>
                      <w:marRight w:val="0"/>
                      <w:marTop w:val="0"/>
                      <w:marBottom w:val="0"/>
                      <w:divBdr>
                        <w:top w:val="none" w:sz="0" w:space="0" w:color="auto"/>
                        <w:left w:val="none" w:sz="0" w:space="0" w:color="auto"/>
                        <w:bottom w:val="none" w:sz="0" w:space="0" w:color="auto"/>
                        <w:right w:val="none" w:sz="0" w:space="0" w:color="auto"/>
                      </w:divBdr>
                      <w:divsChild>
                        <w:div w:id="1965765107">
                          <w:marLeft w:val="0"/>
                          <w:marRight w:val="0"/>
                          <w:marTop w:val="0"/>
                          <w:marBottom w:val="0"/>
                          <w:divBdr>
                            <w:top w:val="none" w:sz="0" w:space="0" w:color="auto"/>
                            <w:left w:val="none" w:sz="0" w:space="0" w:color="auto"/>
                            <w:bottom w:val="none" w:sz="0" w:space="0" w:color="auto"/>
                            <w:right w:val="none" w:sz="0" w:space="0" w:color="auto"/>
                          </w:divBdr>
                          <w:divsChild>
                            <w:div w:id="1771586808">
                              <w:marLeft w:val="0"/>
                              <w:marRight w:val="0"/>
                              <w:marTop w:val="0"/>
                              <w:marBottom w:val="0"/>
                              <w:divBdr>
                                <w:top w:val="none" w:sz="0" w:space="0" w:color="auto"/>
                                <w:left w:val="none" w:sz="0" w:space="0" w:color="auto"/>
                                <w:bottom w:val="none" w:sz="0" w:space="0" w:color="auto"/>
                                <w:right w:val="none" w:sz="0" w:space="0" w:color="auto"/>
                              </w:divBdr>
                              <w:divsChild>
                                <w:div w:id="1270508669">
                                  <w:marLeft w:val="0"/>
                                  <w:marRight w:val="0"/>
                                  <w:marTop w:val="0"/>
                                  <w:marBottom w:val="0"/>
                                  <w:divBdr>
                                    <w:top w:val="none" w:sz="0" w:space="0" w:color="auto"/>
                                    <w:left w:val="none" w:sz="0" w:space="0" w:color="auto"/>
                                    <w:bottom w:val="none" w:sz="0" w:space="0" w:color="auto"/>
                                    <w:right w:val="none" w:sz="0" w:space="0" w:color="auto"/>
                                  </w:divBdr>
                                  <w:divsChild>
                                    <w:div w:id="2092774711">
                                      <w:marLeft w:val="0"/>
                                      <w:marRight w:val="0"/>
                                      <w:marTop w:val="0"/>
                                      <w:marBottom w:val="0"/>
                                      <w:divBdr>
                                        <w:top w:val="none" w:sz="0" w:space="0" w:color="auto"/>
                                        <w:left w:val="none" w:sz="0" w:space="0" w:color="auto"/>
                                        <w:bottom w:val="none" w:sz="0" w:space="0" w:color="auto"/>
                                        <w:right w:val="none" w:sz="0" w:space="0" w:color="auto"/>
                                      </w:divBdr>
                                      <w:divsChild>
                                        <w:div w:id="1408385427">
                                          <w:marLeft w:val="0"/>
                                          <w:marRight w:val="0"/>
                                          <w:marTop w:val="0"/>
                                          <w:marBottom w:val="0"/>
                                          <w:divBdr>
                                            <w:top w:val="none" w:sz="0" w:space="0" w:color="auto"/>
                                            <w:left w:val="none" w:sz="0" w:space="0" w:color="auto"/>
                                            <w:bottom w:val="none" w:sz="0" w:space="0" w:color="auto"/>
                                            <w:right w:val="none" w:sz="0" w:space="0" w:color="auto"/>
                                          </w:divBdr>
                                        </w:div>
                                      </w:divsChild>
                                    </w:div>
                                    <w:div w:id="312418201">
                                      <w:marLeft w:val="0"/>
                                      <w:marRight w:val="0"/>
                                      <w:marTop w:val="0"/>
                                      <w:marBottom w:val="0"/>
                                      <w:divBdr>
                                        <w:top w:val="none" w:sz="0" w:space="0" w:color="auto"/>
                                        <w:left w:val="none" w:sz="0" w:space="0" w:color="auto"/>
                                        <w:bottom w:val="none" w:sz="0" w:space="0" w:color="auto"/>
                                        <w:right w:val="none" w:sz="0" w:space="0" w:color="auto"/>
                                      </w:divBdr>
                                    </w:div>
                                  </w:divsChild>
                                </w:div>
                                <w:div w:id="1519781675">
                                  <w:marLeft w:val="0"/>
                                  <w:marRight w:val="0"/>
                                  <w:marTop w:val="0"/>
                                  <w:marBottom w:val="0"/>
                                  <w:divBdr>
                                    <w:top w:val="none" w:sz="0" w:space="0" w:color="auto"/>
                                    <w:left w:val="none" w:sz="0" w:space="0" w:color="auto"/>
                                    <w:bottom w:val="none" w:sz="0" w:space="0" w:color="auto"/>
                                    <w:right w:val="none" w:sz="0" w:space="0" w:color="auto"/>
                                  </w:divBdr>
                                  <w:divsChild>
                                    <w:div w:id="1279291625">
                                      <w:marLeft w:val="0"/>
                                      <w:marRight w:val="0"/>
                                      <w:marTop w:val="0"/>
                                      <w:marBottom w:val="0"/>
                                      <w:divBdr>
                                        <w:top w:val="none" w:sz="0" w:space="0" w:color="auto"/>
                                        <w:left w:val="none" w:sz="0" w:space="0" w:color="auto"/>
                                        <w:bottom w:val="none" w:sz="0" w:space="0" w:color="auto"/>
                                        <w:right w:val="none" w:sz="0" w:space="0" w:color="auto"/>
                                      </w:divBdr>
                                      <w:divsChild>
                                        <w:div w:id="329526442">
                                          <w:marLeft w:val="0"/>
                                          <w:marRight w:val="0"/>
                                          <w:marTop w:val="0"/>
                                          <w:marBottom w:val="0"/>
                                          <w:divBdr>
                                            <w:top w:val="none" w:sz="0" w:space="0" w:color="auto"/>
                                            <w:left w:val="none" w:sz="0" w:space="0" w:color="auto"/>
                                            <w:bottom w:val="none" w:sz="0" w:space="0" w:color="auto"/>
                                            <w:right w:val="none" w:sz="0" w:space="0" w:color="auto"/>
                                          </w:divBdr>
                                        </w:div>
                                      </w:divsChild>
                                    </w:div>
                                    <w:div w:id="1605334427">
                                      <w:marLeft w:val="0"/>
                                      <w:marRight w:val="0"/>
                                      <w:marTop w:val="0"/>
                                      <w:marBottom w:val="0"/>
                                      <w:divBdr>
                                        <w:top w:val="none" w:sz="0" w:space="0" w:color="auto"/>
                                        <w:left w:val="none" w:sz="0" w:space="0" w:color="auto"/>
                                        <w:bottom w:val="none" w:sz="0" w:space="0" w:color="auto"/>
                                        <w:right w:val="none" w:sz="0" w:space="0" w:color="auto"/>
                                      </w:divBdr>
                                    </w:div>
                                  </w:divsChild>
                                </w:div>
                                <w:div w:id="1493641245">
                                  <w:marLeft w:val="0"/>
                                  <w:marRight w:val="0"/>
                                  <w:marTop w:val="0"/>
                                  <w:marBottom w:val="0"/>
                                  <w:divBdr>
                                    <w:top w:val="none" w:sz="0" w:space="0" w:color="auto"/>
                                    <w:left w:val="none" w:sz="0" w:space="0" w:color="auto"/>
                                    <w:bottom w:val="none" w:sz="0" w:space="0" w:color="auto"/>
                                    <w:right w:val="none" w:sz="0" w:space="0" w:color="auto"/>
                                  </w:divBdr>
                                  <w:divsChild>
                                    <w:div w:id="1343702195">
                                      <w:marLeft w:val="0"/>
                                      <w:marRight w:val="0"/>
                                      <w:marTop w:val="0"/>
                                      <w:marBottom w:val="0"/>
                                      <w:divBdr>
                                        <w:top w:val="none" w:sz="0" w:space="0" w:color="auto"/>
                                        <w:left w:val="none" w:sz="0" w:space="0" w:color="auto"/>
                                        <w:bottom w:val="none" w:sz="0" w:space="0" w:color="auto"/>
                                        <w:right w:val="none" w:sz="0" w:space="0" w:color="auto"/>
                                      </w:divBdr>
                                      <w:divsChild>
                                        <w:div w:id="1960256229">
                                          <w:marLeft w:val="0"/>
                                          <w:marRight w:val="0"/>
                                          <w:marTop w:val="0"/>
                                          <w:marBottom w:val="0"/>
                                          <w:divBdr>
                                            <w:top w:val="none" w:sz="0" w:space="0" w:color="auto"/>
                                            <w:left w:val="none" w:sz="0" w:space="0" w:color="auto"/>
                                            <w:bottom w:val="none" w:sz="0" w:space="0" w:color="auto"/>
                                            <w:right w:val="none" w:sz="0" w:space="0" w:color="auto"/>
                                          </w:divBdr>
                                        </w:div>
                                      </w:divsChild>
                                    </w:div>
                                    <w:div w:id="1219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ch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idee-verte-mecaware-veut-recycler-les-batteries-lithium-ion-avec-du-co2-capte-dans-l-industrie.N1091749?preview=11" TargetMode="External"/><Relationship Id="rId5" Type="http://schemas.openxmlformats.org/officeDocument/2006/relationships/hyperlink" Target="https://www.usinenouvelle.com/editorial/rapport-cyclope-pourquoi-la-flambee-des-cours-des-matieres-premieres-n-est-pas-due-a-un-super-cycle.N10966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820</Words>
  <Characters>4510</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2021-06-08T06:19:00Z</dcterms:created>
  <dcterms:modified xsi:type="dcterms:W3CDTF">2021-06-08T06:24:00Z</dcterms:modified>
</cp:coreProperties>
</file>